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DC" w:rsidRPr="005A58DC" w:rsidRDefault="005A58DC" w:rsidP="005A58D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r w:rsidRPr="005A58DC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>Доклад председателя</w:t>
      </w:r>
    </w:p>
    <w:p w:rsidR="005A58DC" w:rsidRPr="005A58DC" w:rsidRDefault="005A58DC" w:rsidP="005A58DC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r w:rsidRPr="005A58DC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>Контрольно-счетной палаты городского округа Долгопрудный на публичных слушаниях по проекту бюджета</w:t>
      </w:r>
    </w:p>
    <w:p w:rsidR="005A58DC" w:rsidRPr="005A58DC" w:rsidRDefault="005A58DC" w:rsidP="005A58DC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r w:rsidRPr="005A58DC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 xml:space="preserve"> городского округа Долгопрудный</w:t>
      </w:r>
    </w:p>
    <w:p w:rsidR="005A58DC" w:rsidRPr="005A58DC" w:rsidRDefault="005A58DC" w:rsidP="005A58DC">
      <w:pPr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  <w:r w:rsidRPr="005A58DC"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  <w:t>на 2026 год и плановый период 2027 и 2028 годов</w:t>
      </w:r>
    </w:p>
    <w:p w:rsidR="005A58DC" w:rsidRPr="005A58DC" w:rsidRDefault="005A58DC" w:rsidP="005A58DC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 w:bidi="en-US"/>
        </w:rPr>
      </w:pPr>
    </w:p>
    <w:p w:rsidR="005A58DC" w:rsidRPr="005A58DC" w:rsidRDefault="005A58DC" w:rsidP="005A58D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 w:bidi="en-US"/>
        </w:rPr>
      </w:pPr>
      <w:r w:rsidRPr="005A58DC">
        <w:rPr>
          <w:rFonts w:ascii="Arial" w:eastAsia="Times New Roman" w:hAnsi="Arial" w:cs="Arial"/>
          <w:b/>
          <w:bCs/>
          <w:sz w:val="24"/>
          <w:szCs w:val="24"/>
          <w:lang w:eastAsia="ru-RU" w:bidi="en-US"/>
        </w:rPr>
        <w:t>Уважаемые президиум, участники публичных слушаний!</w:t>
      </w:r>
    </w:p>
    <w:p w:rsidR="005A58DC" w:rsidRPr="005A58DC" w:rsidRDefault="005A58DC" w:rsidP="005A58DC">
      <w:pPr>
        <w:spacing w:after="0" w:line="36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 w:bidi="en-US"/>
        </w:rPr>
      </w:pPr>
      <w:r w:rsidRPr="005A58DC">
        <w:rPr>
          <w:rFonts w:ascii="Arial" w:eastAsia="Times New Roman" w:hAnsi="Arial" w:cs="Arial"/>
          <w:sz w:val="24"/>
          <w:szCs w:val="24"/>
          <w:lang w:eastAsia="ru-RU" w:bidi="en-US"/>
        </w:rPr>
        <w:t>В соответствии с полномочиями Контрольно-счетной палаты проведена экспертиза проекта решения Совета депутатов «О бюджете городского округа Долгопрудный на 2026 год и плановый период 2027 и 2028 годов».</w:t>
      </w:r>
    </w:p>
    <w:p w:rsidR="005A58DC" w:rsidRPr="005A58DC" w:rsidRDefault="005A58DC" w:rsidP="005A58DC">
      <w:pPr>
        <w:spacing w:after="0" w:line="360" w:lineRule="auto"/>
        <w:ind w:firstLine="567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>По результатам экспертизы установлено следующее.</w:t>
      </w:r>
    </w:p>
    <w:p w:rsidR="005A58DC" w:rsidRPr="005A58DC" w:rsidRDefault="005A58DC" w:rsidP="005A58DC">
      <w:pPr>
        <w:spacing w:after="0" w:line="360" w:lineRule="auto"/>
        <w:ind w:firstLine="567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Проект решения внесен на рассмотрение в Совет депутатов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в установленные сроки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в соответствии с требованиями статьи 185 Бюджетного кодекса Российской Федерации и статьи 6 Положения о бюджетном процессе в городском округе Долгопрудный. </w:t>
      </w:r>
    </w:p>
    <w:p w:rsidR="005A58DC" w:rsidRPr="005A58DC" w:rsidRDefault="005A58DC" w:rsidP="005A58DC">
      <w:pPr>
        <w:spacing w:after="0" w:line="360" w:lineRule="auto"/>
        <w:ind w:firstLine="567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Проект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размещен на сайте администрации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>, что соответствует принципу прозрачности (открытости), установленному статьей 36 Бюджетного кодекса Российской Федерации.</w:t>
      </w:r>
    </w:p>
    <w:p w:rsidR="005A58DC" w:rsidRPr="005A58DC" w:rsidRDefault="005A58DC" w:rsidP="005A58DC">
      <w:pPr>
        <w:spacing w:after="0" w:line="36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Состав документов соответствует требованиям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статьи 184.2 Бюджетного кодекса РФ и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статей 6 и 7 Положения о бюджетном процессе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в городском округе Долгопрудный. </w:t>
      </w:r>
    </w:p>
    <w:p w:rsidR="005A58DC" w:rsidRPr="005A58DC" w:rsidRDefault="005A58DC" w:rsidP="005A58DC">
      <w:pPr>
        <w:tabs>
          <w:tab w:val="left" w:pos="540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ab/>
      </w: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 xml:space="preserve">В соответствии с требованиями статей 172 и 184.1 Бюджетного кодекса РФ, статьи 4 Положения о бюджетном процессе </w:t>
      </w:r>
      <w:r w:rsidRPr="005A58DC">
        <w:rPr>
          <w:rFonts w:ascii="Arial" w:eastAsiaTheme="minorEastAsia" w:hAnsi="Arial" w:cs="Times New Roman"/>
          <w:b/>
          <w:sz w:val="24"/>
          <w:szCs w:val="24"/>
          <w:lang w:bidi="en-US"/>
        </w:rPr>
        <w:t>проект бюджета на очередной финансовый год и плановый период сформирован</w:t>
      </w: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 xml:space="preserve"> на основе одобренного прогноза социально-экономического развития, основных направлений бюджетной и налоговой политики, подготовленных с учетом положений послания Президента Российской Федерации Федеральному Собранию Российской Федерации, положений Указа Президента Российской Федерации от 07 мая 2024 года, приоритетных целей и задач национальных проектов, государственных программ Московской области и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содержит основные характеристики бюджета.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</w:t>
      </w:r>
    </w:p>
    <w:p w:rsidR="005A58DC" w:rsidRPr="005A58DC" w:rsidRDefault="005A58DC" w:rsidP="005A58DC">
      <w:pPr>
        <w:tabs>
          <w:tab w:val="left" w:pos="540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ab/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В 2026 году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планируется дефицит бюджета в размере 400 000,0 тыс. руб. или 9,4% от общего годового объема доходов, что не противоречит положениям статьи 92.1 БК РФ.</w:t>
      </w:r>
    </w:p>
    <w:p w:rsidR="005A58DC" w:rsidRPr="005A58DC" w:rsidRDefault="005A58DC" w:rsidP="005A58DC">
      <w:pPr>
        <w:tabs>
          <w:tab w:val="left" w:pos="540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ab/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В 2027 году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планируется дефицит бюджета в размере 13 839,1 тыс. руб. или 0,3 % от общего годового объема доходов, что также не противоречит положениям статьи 92.1 БК РФ. </w:t>
      </w:r>
    </w:p>
    <w:p w:rsidR="005A58DC" w:rsidRPr="005A58DC" w:rsidRDefault="005A58DC" w:rsidP="005A58DC">
      <w:pPr>
        <w:tabs>
          <w:tab w:val="left" w:pos="540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ab/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В 2028 году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дефицит не планируется.</w:t>
      </w:r>
    </w:p>
    <w:p w:rsidR="005A58DC" w:rsidRPr="005A58DC" w:rsidRDefault="005A58DC" w:rsidP="005A58D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lastRenderedPageBreak/>
        <w:t>Следует отметить, что с</w:t>
      </w:r>
      <w:r w:rsidRPr="005A58DC">
        <w:rPr>
          <w:rFonts w:ascii="Arial" w:hAnsi="Arial" w:cs="Arial"/>
          <w:sz w:val="24"/>
          <w:szCs w:val="24"/>
        </w:rPr>
        <w:t xml:space="preserve">огласно положениям статьи 33 БК РФ при составлении, утверждении и исполнении бюджета уполномоченные органы должны исходить из необходимости минимизации размера дефицита бюджета. </w:t>
      </w:r>
    </w:p>
    <w:p w:rsidR="005A58DC" w:rsidRPr="005A58DC" w:rsidRDefault="005A58DC" w:rsidP="005A58DC">
      <w:pPr>
        <w:spacing w:after="0" w:line="36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При формировании ДОХОДОВ соблюдены установленные нормативы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зачисления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в бюджет налоговых доходов,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объемы безвозмездных поступлений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в соответствии с проектом закона Московской области «О бюджете Московской области на 2026 год и на плановый период 2027 и 2028 годов».</w:t>
      </w:r>
    </w:p>
    <w:p w:rsidR="005A58DC" w:rsidRPr="005A58DC" w:rsidRDefault="005A58DC" w:rsidP="005A58DC">
      <w:pPr>
        <w:widowControl w:val="0"/>
        <w:spacing w:after="0"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A58DC">
        <w:rPr>
          <w:rFonts w:ascii="Arial" w:hAnsi="Arial" w:cs="Arial"/>
          <w:sz w:val="24"/>
          <w:szCs w:val="24"/>
        </w:rPr>
        <w:t xml:space="preserve">Предлагаемые к утверждению </w:t>
      </w:r>
      <w:r w:rsidRPr="005A58DC">
        <w:rPr>
          <w:rFonts w:ascii="Arial" w:hAnsi="Arial" w:cs="Arial"/>
          <w:b/>
          <w:sz w:val="24"/>
          <w:szCs w:val="24"/>
        </w:rPr>
        <w:t xml:space="preserve">объёмы доходов бюджета в основном определены, исходя из ожидаемого поступления доходов в 2025 году и прогнозных показателей главных администраторов доходов бюджета. </w:t>
      </w:r>
    </w:p>
    <w:p w:rsidR="005A58DC" w:rsidRPr="005A58DC" w:rsidRDefault="005A58DC" w:rsidP="005A58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Cs/>
          <w:iCs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>Проведена оценка эффективности налоговых льгот по местным налогам, согласно которой льготы, установленные Советом депутатов городского округа Долгопрудный Московской области, подлежат сохранению.</w:t>
      </w: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eastAsiaTheme="minorEastAsia" w:hAnsi="Arial" w:cs="Arial"/>
          <w:bCs/>
          <w:iCs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Прогнозные показатели </w:t>
      </w:r>
      <w:r w:rsidRPr="005A58DC">
        <w:rPr>
          <w:rFonts w:ascii="Arial" w:eastAsiaTheme="minorEastAsia" w:hAnsi="Arial" w:cs="Arial"/>
          <w:b/>
          <w:bCs/>
          <w:iCs/>
          <w:sz w:val="24"/>
          <w:szCs w:val="24"/>
          <w:lang w:bidi="en-US"/>
        </w:rPr>
        <w:t xml:space="preserve">по налоговым доходам на 2026 год </w:t>
      </w:r>
      <w:r w:rsidRPr="005A58DC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определены с увеличением относительно ожидаемого исполнения бюджета в 2025 году на 13,5% и в собственных доходах бюджета составят 84,1%.  </w:t>
      </w: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eastAsiaTheme="minorEastAsia" w:hAnsi="Arial" w:cs="Arial"/>
          <w:bCs/>
          <w:iCs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Прогнозные показатели </w:t>
      </w:r>
      <w:r w:rsidRPr="005A58DC">
        <w:rPr>
          <w:rFonts w:ascii="Arial" w:eastAsiaTheme="minorEastAsia" w:hAnsi="Arial" w:cs="Arial"/>
          <w:b/>
          <w:bCs/>
          <w:iCs/>
          <w:sz w:val="24"/>
          <w:szCs w:val="24"/>
          <w:lang w:bidi="en-US"/>
        </w:rPr>
        <w:t>по неналоговым доходам на 2026 го</w:t>
      </w:r>
      <w:r w:rsidRPr="005A58DC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д определены со снижением относительно ожидаемого исполнения бюджета в 2025 году на 3,5% и в собственных доходах бюджета составят 15,9%.  </w:t>
      </w:r>
    </w:p>
    <w:p w:rsidR="005A58DC" w:rsidRPr="005A58DC" w:rsidRDefault="005A58DC" w:rsidP="005A58DC">
      <w:pPr>
        <w:spacing w:after="0" w:line="360" w:lineRule="auto"/>
        <w:ind w:firstLine="708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b/>
          <w:bCs/>
          <w:iCs/>
          <w:sz w:val="24"/>
          <w:szCs w:val="24"/>
          <w:lang w:bidi="en-US"/>
        </w:rPr>
        <w:t>По результатам анализа неналоговых доходов</w:t>
      </w:r>
      <w:r w:rsidRPr="005A58DC">
        <w:rPr>
          <w:rFonts w:ascii="Arial" w:eastAsiaTheme="minorEastAsia" w:hAnsi="Arial" w:cs="Arial"/>
          <w:bCs/>
          <w:iCs/>
          <w:sz w:val="24"/>
          <w:szCs w:val="24"/>
          <w:lang w:bidi="en-US"/>
        </w:rPr>
        <w:t xml:space="preserve"> 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есть основания полагать, что по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отдельным видам неналоговых доходов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прогнозные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показатели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в проекте бюджета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 xml:space="preserve"> несколько занижены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,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что нарушает положения статьи 37 БК РФ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о реалистичности расчетов доходных источников и достоверности к утверждению предлагаемых показателей.</w:t>
      </w:r>
    </w:p>
    <w:p w:rsidR="005A58DC" w:rsidRPr="005A58DC" w:rsidRDefault="005A58DC" w:rsidP="005A58DC">
      <w:pPr>
        <w:spacing w:after="0" w:line="360" w:lineRule="auto"/>
        <w:ind w:firstLine="708"/>
        <w:contextualSpacing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Объем безвозмездных поступлений в бюджет городского округа из бюджетов других уровней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в 2026 году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планируется на 23,6 % больше относительно ожидаемого исполнения бюджета 2025 года,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в 2027 году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больше на 4,8%,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в 2028 году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ниже на 4,4% относительно 2027 года.</w:t>
      </w: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 xml:space="preserve">РАСХОДЫ 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бюджета сформированы в соответствии с правами и полномочиями органов местного самоуправления с учетом разграничения указанных бюджетных полномочий между органами государственной власти и органами местного самоуправления, </w:t>
      </w:r>
      <w:r w:rsidRPr="005A58DC">
        <w:rPr>
          <w:rFonts w:ascii="Arial" w:hAnsi="Arial" w:cs="Arial"/>
          <w:sz w:val="24"/>
          <w:szCs w:val="24"/>
        </w:rPr>
        <w:t xml:space="preserve">со справочником типового бюджета муниципального образования Московской области по муниципальным программам и непрограммным направлениям деятельности. </w:t>
      </w: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Предусмотренные проектом расходы бюджета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отнесены к соответствующим кодам бюджетной классификации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в соответствии с требованиями статьи 21 БК РФ и 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lastRenderedPageBreak/>
        <w:t xml:space="preserve">Приказа Минфина России от 24.05.2022 № 82н «О порядке формирования и применения кодов бюджетной классификации Российской Федерации, их структуре и принципах назначения». </w:t>
      </w: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>Бюджетная политика в области расходов бюджета остается социально ориентированной.</w:t>
      </w: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eastAsiaTheme="minorEastAsia" w:hAnsi="Arial" w:cs="Arial"/>
          <w:b/>
          <w:bCs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>Проектом бюджета предусмотрены расходы на реализацию                              19 муниципальных программ из 20. На реализацию муниципальной программы «Архитектура и градостроительство» бюджетные средства не предусмотрены.</w:t>
      </w:r>
    </w:p>
    <w:p w:rsidR="005A58DC" w:rsidRPr="005A58DC" w:rsidRDefault="005A58DC" w:rsidP="005A58DC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Общий объем расходов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бюджета городского округа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на 2026 год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запланирован с увеличением к ожидаемому исполнению бюджета 2025 года на 18,9 %.</w:t>
      </w:r>
    </w:p>
    <w:p w:rsidR="005A58DC" w:rsidRPr="005A58DC" w:rsidRDefault="005A58DC" w:rsidP="005A58DC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Объемы финансирования всех муниципальных программ, согласно паспортам, представленным к проекту решения, соответствуют объемам финансового обеспечения, определенным в проекте решения о бюджете на очередной финансовый год и плановый период. </w:t>
      </w:r>
    </w:p>
    <w:p w:rsidR="005A58DC" w:rsidRPr="005A58DC" w:rsidRDefault="005A58DC" w:rsidP="005A58DC">
      <w:pPr>
        <w:spacing w:after="0" w:line="360" w:lineRule="auto"/>
        <w:ind w:firstLine="709"/>
        <w:jc w:val="both"/>
        <w:rPr>
          <w:rFonts w:ascii="Arial" w:eastAsiaTheme="minorEastAsia" w:hAnsi="Arial" w:cs="Arial"/>
          <w:b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В проекте бюджета городского округа в 2026-2028 годах в рамках муниципальных программ предусмотрено финансирование на реализацию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национальных проектов «Семья», «Молодежь и дети», «Инфраструктура для жизни», «Экономика данных и цифровая трансформация государства».</w:t>
      </w:r>
    </w:p>
    <w:p w:rsidR="005A58DC" w:rsidRPr="005A58DC" w:rsidRDefault="005A58DC" w:rsidP="005A58DC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Бюджетные ассигнования на исполнение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публичных нормативных обязательств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сформированы в соответствии со статьей 74.1 Бюджетного кодекса Российской Федерации отдельно по каждому виду таких обязательств.</w:t>
      </w:r>
    </w:p>
    <w:p w:rsidR="005A58DC" w:rsidRPr="005A58DC" w:rsidRDefault="005A58DC" w:rsidP="005A58DC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Объем бюджетных средств на исполнение публичных нормативных обязательств на 2026-2028 годы предусмотрен с уменьшением на 30 % относительно ожидаемого исполнения бюджета в 2025 году (составит 1 400,0 тыс. руб.) и исходя из численности получателей мер социальной поддержки на размер выплат (на одного человека) определенной категории лиц, предусмотренный Порядками. Сокращение расходов связано в основном с уменьшением прогнозируемой численности получателей мер социальной поддержки. </w:t>
      </w: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5A58DC">
        <w:rPr>
          <w:rFonts w:ascii="Arial" w:hAnsi="Arial" w:cs="Arial"/>
          <w:b/>
          <w:sz w:val="24"/>
          <w:szCs w:val="24"/>
        </w:rPr>
        <w:t xml:space="preserve">РЕЗЕРВНЫЙ ФОНД </w:t>
      </w:r>
      <w:r w:rsidRPr="005A58DC">
        <w:rPr>
          <w:rFonts w:ascii="Arial" w:hAnsi="Arial" w:cs="Arial"/>
          <w:sz w:val="24"/>
          <w:szCs w:val="24"/>
        </w:rPr>
        <w:t>администрации   городского округа на 2026 год и плановый период 2027 и 2028 годов предусмотрен по каждому году в сумме 6 000,0 тыс. (шесть миллионов) руб., в том числе предусмотрены средства Резервного фонда на предупреждение и ликвидацию чрезвычайных ситуаций и последствий стихийных бедствий в сумме 3 000,0</w:t>
      </w:r>
      <w:r w:rsidRPr="005A58DC">
        <w:rPr>
          <w:rFonts w:ascii="Arial" w:hAnsi="Arial" w:cs="Arial"/>
          <w:b/>
          <w:sz w:val="24"/>
          <w:szCs w:val="24"/>
        </w:rPr>
        <w:t xml:space="preserve"> </w:t>
      </w:r>
      <w:r w:rsidR="0009416A">
        <w:rPr>
          <w:rFonts w:ascii="Arial" w:hAnsi="Arial" w:cs="Arial"/>
          <w:sz w:val="24"/>
          <w:szCs w:val="24"/>
        </w:rPr>
        <w:t xml:space="preserve">тыс. </w:t>
      </w:r>
      <w:r w:rsidRPr="005A58DC">
        <w:rPr>
          <w:rFonts w:ascii="Arial" w:hAnsi="Arial" w:cs="Arial"/>
          <w:sz w:val="24"/>
          <w:szCs w:val="24"/>
        </w:rPr>
        <w:t xml:space="preserve">рублей ежегодно, </w:t>
      </w:r>
      <w:r w:rsidRPr="005A58DC">
        <w:rPr>
          <w:rFonts w:ascii="Arial" w:hAnsi="Arial" w:cs="Arial"/>
          <w:b/>
          <w:i/>
          <w:sz w:val="24"/>
          <w:szCs w:val="24"/>
        </w:rPr>
        <w:t xml:space="preserve">что не превышает размера, установленного статьей 81 БК РФ. </w:t>
      </w: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5A58DC" w:rsidRPr="005A58DC" w:rsidRDefault="005A58DC" w:rsidP="005A58D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58DC">
        <w:rPr>
          <w:rFonts w:ascii="Arial" w:hAnsi="Arial" w:cs="Arial"/>
          <w:b/>
          <w:sz w:val="24"/>
          <w:szCs w:val="24"/>
        </w:rPr>
        <w:t>И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сточники внутреннего финансирования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</w:t>
      </w: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дефицита бюджета</w:t>
      </w:r>
      <w:r w:rsidRPr="005A58DC">
        <w:rPr>
          <w:rFonts w:ascii="Arial" w:eastAsiaTheme="minorEastAsia" w:hAnsi="Arial" w:cs="Arial"/>
          <w:sz w:val="24"/>
          <w:szCs w:val="24"/>
          <w:lang w:bidi="en-US"/>
        </w:rPr>
        <w:t xml:space="preserve"> городского округа на 2026-2027 годы планируются в виде коммерческих кредитов от кредитной организации. </w:t>
      </w:r>
      <w:r w:rsidRPr="005A58DC">
        <w:rPr>
          <w:rFonts w:ascii="Arial" w:hAnsi="Arial" w:cs="Arial"/>
          <w:sz w:val="24"/>
          <w:szCs w:val="24"/>
        </w:rPr>
        <w:t>На плановый 2028 год источники не планируются, так как не планируется дефицит бюджета.</w:t>
      </w:r>
    </w:p>
    <w:p w:rsidR="005A58DC" w:rsidRPr="005A58DC" w:rsidRDefault="005A58DC" w:rsidP="005A58DC">
      <w:pPr>
        <w:pStyle w:val="a6"/>
        <w:tabs>
          <w:tab w:val="left" w:pos="54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5A58DC">
        <w:rPr>
          <w:rFonts w:ascii="Arial" w:hAnsi="Arial" w:cs="Arial"/>
          <w:b/>
        </w:rPr>
        <w:tab/>
        <w:t>МУНИЦИПАЛЬНЫЙ ДОЛГ</w:t>
      </w:r>
    </w:p>
    <w:p w:rsidR="005A58DC" w:rsidRPr="005A58DC" w:rsidRDefault="005A58DC" w:rsidP="005A58DC">
      <w:pPr>
        <w:pStyle w:val="a6"/>
        <w:tabs>
          <w:tab w:val="left" w:pos="54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A58DC">
        <w:rPr>
          <w:rFonts w:ascii="Arial" w:hAnsi="Arial" w:cs="Arial"/>
        </w:rPr>
        <w:tab/>
      </w:r>
      <w:r w:rsidRPr="005A58DC">
        <w:rPr>
          <w:rFonts w:ascii="Arial" w:hAnsi="Arial" w:cs="Arial"/>
          <w:b/>
        </w:rPr>
        <w:t>В 2026-2027 годах планируется</w:t>
      </w:r>
      <w:r w:rsidRPr="005A58DC">
        <w:rPr>
          <w:rFonts w:ascii="Arial" w:hAnsi="Arial" w:cs="Arial"/>
        </w:rPr>
        <w:t xml:space="preserve"> привлечение муниципальных заимствований </w:t>
      </w:r>
      <w:r w:rsidRPr="005A58DC">
        <w:rPr>
          <w:rFonts w:ascii="Arial" w:hAnsi="Arial" w:cs="Arial"/>
          <w:b/>
        </w:rPr>
        <w:t>в виде коммерческих кредитов</w:t>
      </w:r>
      <w:r w:rsidRPr="005A58DC">
        <w:rPr>
          <w:rFonts w:ascii="Arial" w:hAnsi="Arial" w:cs="Arial"/>
        </w:rPr>
        <w:t xml:space="preserve"> в размерах 400 000,0 тыс. руб. </w:t>
      </w:r>
      <w:r w:rsidR="0009416A">
        <w:rPr>
          <w:rFonts w:ascii="Arial" w:hAnsi="Arial" w:cs="Arial"/>
        </w:rPr>
        <w:t xml:space="preserve">и 413 839,1 тыс. </w:t>
      </w:r>
      <w:bookmarkStart w:id="0" w:name="_GoBack"/>
      <w:bookmarkEnd w:id="0"/>
      <w:r w:rsidRPr="005A58DC">
        <w:rPr>
          <w:rFonts w:ascii="Arial" w:hAnsi="Arial" w:cs="Arial"/>
        </w:rPr>
        <w:t xml:space="preserve">руб. соответственно, заключенных от имени городского округа Долгопрудный на покрытие дефицита бюджета и реструктуризацию муниципального долга. </w:t>
      </w:r>
    </w:p>
    <w:p w:rsidR="005A58DC" w:rsidRPr="005A58DC" w:rsidRDefault="005A58DC" w:rsidP="005A58DC">
      <w:pPr>
        <w:pStyle w:val="a6"/>
        <w:tabs>
          <w:tab w:val="left" w:pos="54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A58DC">
        <w:rPr>
          <w:rFonts w:ascii="Arial" w:hAnsi="Arial" w:cs="Arial"/>
        </w:rPr>
        <w:tab/>
        <w:t>Предоставление муниципальных гарантий в 2026 – 2028 годах не планируется.</w:t>
      </w:r>
    </w:p>
    <w:p w:rsidR="005A58DC" w:rsidRPr="005A58DC" w:rsidRDefault="005A58DC" w:rsidP="005A58DC">
      <w:pPr>
        <w:pStyle w:val="a6"/>
        <w:tabs>
          <w:tab w:val="left" w:pos="54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A58DC">
        <w:rPr>
          <w:rFonts w:ascii="Arial" w:hAnsi="Arial" w:cs="Arial"/>
        </w:rPr>
        <w:tab/>
        <w:t>Предусматриваются расходы на обслуживание муниципального долга (составят на 2026 год в сумме 52 356,0 тыс. руб., на 2027 год в сумме 78 000,0 тыс. руб. и на 2028 год   в сумме 26 771,0 тыс. руб.).</w:t>
      </w:r>
    </w:p>
    <w:p w:rsidR="005A58DC" w:rsidRPr="005A58DC" w:rsidRDefault="005A58DC" w:rsidP="005A58DC">
      <w:pPr>
        <w:pStyle w:val="a6"/>
        <w:tabs>
          <w:tab w:val="left" w:pos="54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A58DC">
        <w:rPr>
          <w:rFonts w:ascii="Arial" w:hAnsi="Arial" w:cs="Arial"/>
        </w:rPr>
        <w:tab/>
        <w:t>По текстовой части проекта решения о бюджете свои предложения Контрольно-счетная палата изложила в полном заключении на проект.</w:t>
      </w:r>
    </w:p>
    <w:p w:rsidR="005A58DC" w:rsidRPr="005A58DC" w:rsidRDefault="005A58DC" w:rsidP="005A58DC">
      <w:pPr>
        <w:pStyle w:val="a6"/>
        <w:tabs>
          <w:tab w:val="left" w:pos="54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A58DC">
        <w:rPr>
          <w:rFonts w:ascii="Arial" w:hAnsi="Arial" w:cs="Arial"/>
        </w:rPr>
        <w:tab/>
        <w:t xml:space="preserve"> В целом представленный проект решения «О бюджете городского округа Долгопрудный на 2026 год и плановый период 2027 и 2028 годов» соответствует положениям бюджетного законодательства Российской Федерации и требованиям Положения о бюджетном процессе в городском округе Долгопрудный.</w:t>
      </w:r>
    </w:p>
    <w:p w:rsidR="005A58DC" w:rsidRPr="005A58DC" w:rsidRDefault="005A58DC" w:rsidP="005A58DC">
      <w:pPr>
        <w:tabs>
          <w:tab w:val="left" w:pos="0"/>
          <w:tab w:val="left" w:pos="142"/>
        </w:tabs>
        <w:spacing w:after="0" w:line="360" w:lineRule="auto"/>
        <w:jc w:val="both"/>
        <w:rPr>
          <w:rFonts w:ascii="Arial" w:eastAsiaTheme="minorEastAsia" w:hAnsi="Arial" w:cs="Times New Roman"/>
          <w:sz w:val="24"/>
          <w:szCs w:val="24"/>
          <w:lang w:bidi="en-US"/>
        </w:rPr>
      </w:pP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ab/>
      </w: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ab/>
      </w:r>
    </w:p>
    <w:p w:rsidR="005A58DC" w:rsidRPr="005A58DC" w:rsidRDefault="005A58DC" w:rsidP="005A58DC">
      <w:pPr>
        <w:tabs>
          <w:tab w:val="left" w:pos="0"/>
          <w:tab w:val="left" w:pos="142"/>
        </w:tabs>
        <w:spacing w:after="0" w:line="360" w:lineRule="auto"/>
        <w:jc w:val="both"/>
        <w:rPr>
          <w:rFonts w:ascii="Arial" w:eastAsiaTheme="minorEastAsia" w:hAnsi="Arial" w:cs="Times New Roman"/>
          <w:b/>
          <w:sz w:val="24"/>
          <w:szCs w:val="24"/>
          <w:lang w:bidi="en-US"/>
        </w:rPr>
      </w:pP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ab/>
      </w: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ab/>
      </w:r>
      <w:r w:rsidRPr="005A58DC">
        <w:rPr>
          <w:rFonts w:ascii="Arial" w:eastAsiaTheme="minorEastAsia" w:hAnsi="Arial" w:cs="Times New Roman"/>
          <w:b/>
          <w:sz w:val="24"/>
          <w:szCs w:val="24"/>
          <w:lang w:bidi="en-US"/>
        </w:rPr>
        <w:t>НА ОСНОВАНИИ ИЗЛОЖЕННОГО, КОНТРОЛЬНО-СЧЕТНАЯ ПАЛАТА ПРЕДЛАГАЕТ:</w:t>
      </w:r>
    </w:p>
    <w:p w:rsidR="005A58DC" w:rsidRPr="005A58DC" w:rsidRDefault="005A58DC" w:rsidP="005A58DC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Theme="minorEastAsia" w:hAnsi="Arial"/>
          <w:sz w:val="24"/>
          <w:szCs w:val="24"/>
          <w:lang w:bidi="en-US"/>
        </w:rPr>
      </w:pPr>
      <w:r w:rsidRPr="005A58DC">
        <w:rPr>
          <w:rFonts w:ascii="Arial" w:eastAsiaTheme="minorEastAsia" w:hAnsi="Arial"/>
          <w:sz w:val="24"/>
          <w:szCs w:val="24"/>
          <w:lang w:bidi="en-US"/>
        </w:rPr>
        <w:t>Пересмотреть текстовые статьи проекта решения о бюджете с учетом предложений и замечаний Контрольно-счетной палаты городского округа Долгопрудный.</w:t>
      </w:r>
    </w:p>
    <w:p w:rsidR="005A58DC" w:rsidRPr="005A58DC" w:rsidRDefault="005A58DC" w:rsidP="005A58DC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Theme="minorEastAsia" w:hAnsi="Arial"/>
          <w:sz w:val="24"/>
          <w:szCs w:val="24"/>
          <w:lang w:bidi="en-US"/>
        </w:rPr>
      </w:pPr>
      <w:r w:rsidRPr="005A58DC">
        <w:rPr>
          <w:rFonts w:ascii="Arial" w:eastAsiaTheme="minorEastAsia" w:hAnsi="Arial"/>
          <w:sz w:val="24"/>
          <w:szCs w:val="24"/>
          <w:lang w:bidi="en-US"/>
        </w:rPr>
        <w:t>При формировании прогнозных показателей доходов и расходов бюджета отражать в пояснительной записке к проекту расчеты и обоснования планируемых к утверждению показателей в целях соблюдения требований статьи 37 БК РФ «Принцип достоверности бюджета».</w:t>
      </w:r>
    </w:p>
    <w:p w:rsidR="005A58DC" w:rsidRPr="005A58DC" w:rsidRDefault="005A58DC" w:rsidP="005A58DC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Theme="minorEastAsia" w:hAnsi="Arial"/>
          <w:sz w:val="24"/>
          <w:szCs w:val="24"/>
          <w:lang w:bidi="en-US"/>
        </w:rPr>
      </w:pPr>
      <w:r w:rsidRPr="005A58DC">
        <w:rPr>
          <w:rFonts w:ascii="Arial" w:eastAsiaTheme="minorEastAsia" w:hAnsi="Arial"/>
          <w:sz w:val="24"/>
          <w:szCs w:val="24"/>
          <w:lang w:bidi="en-US"/>
        </w:rPr>
        <w:t>Пересмотреть неналоговые доходы бюджета, в целях увеличения прогнозных показателей, в том числе и за счет задолженности прошлых лет, если она присутствует.</w:t>
      </w:r>
    </w:p>
    <w:p w:rsidR="005A58DC" w:rsidRPr="005A58DC" w:rsidRDefault="005A58DC" w:rsidP="005A58DC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Theme="minorEastAsia" w:hAnsi="Arial" w:cs="Times New Roman"/>
          <w:sz w:val="24"/>
          <w:szCs w:val="24"/>
          <w:lang w:bidi="en-US"/>
        </w:rPr>
      </w:pP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>4.</w:t>
      </w:r>
      <w:r w:rsidRPr="005A58DC">
        <w:rPr>
          <w:rFonts w:ascii="Arial" w:eastAsiaTheme="minorEastAsia" w:hAnsi="Arial" w:cs="Times New Roman"/>
          <w:b/>
          <w:sz w:val="24"/>
          <w:szCs w:val="24"/>
          <w:lang w:bidi="en-US"/>
        </w:rPr>
        <w:t xml:space="preserve"> </w:t>
      </w: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 xml:space="preserve"> В «Ведомственной структуре расходов бюджета городского округа Долгопрудный на 2026 год и плановый период 2027 и 2028 годов» в приложении № 2 к проекту решения о бюджете указать объекты капитального строительства муниципальной собственности, на которые планируются бюджетные инвестиции.</w:t>
      </w:r>
    </w:p>
    <w:p w:rsidR="005A58DC" w:rsidRPr="005A58DC" w:rsidRDefault="005A58DC" w:rsidP="005A58DC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Times New Roman"/>
          <w:sz w:val="24"/>
          <w:szCs w:val="24"/>
          <w:lang w:bidi="en-US"/>
        </w:rPr>
      </w:pP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ab/>
      </w:r>
    </w:p>
    <w:p w:rsidR="005A58DC" w:rsidRPr="005A58DC" w:rsidRDefault="005A58DC" w:rsidP="005A58DC">
      <w:pPr>
        <w:tabs>
          <w:tab w:val="left" w:pos="0"/>
        </w:tabs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bidi="en-US"/>
        </w:rPr>
      </w:pPr>
      <w:r w:rsidRPr="005A58DC">
        <w:rPr>
          <w:rFonts w:ascii="Arial" w:eastAsiaTheme="minorEastAsia" w:hAnsi="Arial" w:cs="Times New Roman"/>
          <w:sz w:val="24"/>
          <w:szCs w:val="24"/>
          <w:lang w:bidi="en-US"/>
        </w:rPr>
        <w:tab/>
        <w:t>На основании изложенного, Контрольно-счетная палата городского округа Долгопрудный рекомендует к рассмотрению и принятию внесенный проект бюджета с учетом замечаний и предложений, изложенных в заключении</w:t>
      </w:r>
      <w:r w:rsidRPr="005A58DC">
        <w:rPr>
          <w:rFonts w:ascii="Arial" w:eastAsiaTheme="minorEastAsia" w:hAnsi="Arial" w:cs="Times New Roman"/>
          <w:spacing w:val="2"/>
          <w:sz w:val="24"/>
          <w:szCs w:val="24"/>
          <w:lang w:bidi="en-US"/>
        </w:rPr>
        <w:t>.</w:t>
      </w:r>
    </w:p>
    <w:p w:rsidR="005A58DC" w:rsidRPr="005A58DC" w:rsidRDefault="005A58DC" w:rsidP="005A58DC">
      <w:pPr>
        <w:spacing w:after="0" w:line="360" w:lineRule="auto"/>
        <w:ind w:firstLine="708"/>
        <w:rPr>
          <w:rFonts w:ascii="Arial" w:eastAsiaTheme="minorEastAsia" w:hAnsi="Arial" w:cs="Arial"/>
          <w:sz w:val="24"/>
          <w:szCs w:val="24"/>
          <w:lang w:bidi="en-US"/>
        </w:rPr>
      </w:pPr>
    </w:p>
    <w:p w:rsidR="005A58DC" w:rsidRPr="005A58DC" w:rsidRDefault="005A58DC" w:rsidP="005A58DC">
      <w:pPr>
        <w:spacing w:after="0" w:line="360" w:lineRule="auto"/>
        <w:ind w:firstLine="708"/>
        <w:rPr>
          <w:sz w:val="24"/>
          <w:szCs w:val="24"/>
        </w:rPr>
      </w:pPr>
      <w:r w:rsidRPr="005A58DC">
        <w:rPr>
          <w:rFonts w:ascii="Arial" w:eastAsiaTheme="minorEastAsia" w:hAnsi="Arial" w:cs="Arial"/>
          <w:b/>
          <w:sz w:val="24"/>
          <w:szCs w:val="24"/>
          <w:lang w:bidi="en-US"/>
        </w:rPr>
        <w:t>СПАСИБО ЗА ВНИМАНИЕ!</w:t>
      </w:r>
    </w:p>
    <w:p w:rsidR="005A58DC" w:rsidRPr="005A58DC" w:rsidRDefault="005A58DC" w:rsidP="005A58DC">
      <w:pPr>
        <w:spacing w:after="0"/>
        <w:rPr>
          <w:sz w:val="24"/>
          <w:szCs w:val="24"/>
        </w:rPr>
      </w:pPr>
    </w:p>
    <w:p w:rsidR="005A58DC" w:rsidRPr="005A58DC" w:rsidRDefault="005A58DC" w:rsidP="005A58DC">
      <w:pPr>
        <w:spacing w:after="0"/>
        <w:rPr>
          <w:sz w:val="24"/>
          <w:szCs w:val="24"/>
        </w:rPr>
      </w:pPr>
    </w:p>
    <w:p w:rsidR="005A58DC" w:rsidRPr="005A58DC" w:rsidRDefault="005A58DC" w:rsidP="005A58DC">
      <w:pPr>
        <w:spacing w:after="0"/>
        <w:rPr>
          <w:sz w:val="24"/>
          <w:szCs w:val="24"/>
        </w:rPr>
      </w:pPr>
    </w:p>
    <w:p w:rsidR="00A250FB" w:rsidRPr="005A58DC" w:rsidRDefault="00A250FB">
      <w:pPr>
        <w:rPr>
          <w:sz w:val="24"/>
          <w:szCs w:val="24"/>
        </w:rPr>
      </w:pPr>
    </w:p>
    <w:sectPr w:rsidR="00A250FB" w:rsidRPr="005A58DC" w:rsidSect="0069791F">
      <w:head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9416A">
      <w:pPr>
        <w:spacing w:after="0" w:line="240" w:lineRule="auto"/>
      </w:pPr>
      <w:r>
        <w:separator/>
      </w:r>
    </w:p>
  </w:endnote>
  <w:endnote w:type="continuationSeparator" w:id="0">
    <w:p w:rsidR="00000000" w:rsidRDefault="0009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9416A">
      <w:pPr>
        <w:spacing w:after="0" w:line="240" w:lineRule="auto"/>
      </w:pPr>
      <w:r>
        <w:separator/>
      </w:r>
    </w:p>
  </w:footnote>
  <w:footnote w:type="continuationSeparator" w:id="0">
    <w:p w:rsidR="00000000" w:rsidRDefault="0009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655720"/>
      <w:docPartObj>
        <w:docPartGallery w:val="Page Numbers (Top of Page)"/>
        <w:docPartUnique/>
      </w:docPartObj>
    </w:sdtPr>
    <w:sdtEndPr/>
    <w:sdtContent>
      <w:p w:rsidR="00025C82" w:rsidRDefault="005A58D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16A">
          <w:rPr>
            <w:noProof/>
          </w:rPr>
          <w:t>5</w:t>
        </w:r>
        <w:r>
          <w:fldChar w:fldCharType="end"/>
        </w:r>
      </w:p>
    </w:sdtContent>
  </w:sdt>
  <w:p w:rsidR="00025C82" w:rsidRDefault="000941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11A87"/>
    <w:multiLevelType w:val="hybridMultilevel"/>
    <w:tmpl w:val="12FA6452"/>
    <w:lvl w:ilvl="0" w:tplc="854E6222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DC"/>
    <w:rsid w:val="0009416A"/>
    <w:rsid w:val="00537E9F"/>
    <w:rsid w:val="005A58DC"/>
    <w:rsid w:val="00A2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AF99"/>
  <w15:chartTrackingRefBased/>
  <w15:docId w15:val="{DA931F99-75E6-4357-AFBD-2650A47E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E9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5A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58DC"/>
  </w:style>
  <w:style w:type="paragraph" w:styleId="a6">
    <w:name w:val="Normal (Web)"/>
    <w:basedOn w:val="a"/>
    <w:uiPriority w:val="99"/>
    <w:rsid w:val="005A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dcterms:created xsi:type="dcterms:W3CDTF">2025-12-02T12:19:00Z</dcterms:created>
  <dcterms:modified xsi:type="dcterms:W3CDTF">2025-12-04T08:40:00Z</dcterms:modified>
</cp:coreProperties>
</file>