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07" w:rsidRPr="00623406" w:rsidRDefault="00623406" w:rsidP="00A41B07">
      <w:pPr>
        <w:pStyle w:val="ConsPlusNormal"/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623406">
        <w:t xml:space="preserve">Проект </w:t>
      </w:r>
      <w:hyperlink r:id="rId4">
        <w:r w:rsidRPr="00623406">
          <w:rPr>
            <w:rFonts w:ascii="Arial" w:hAnsi="Arial" w:cs="Arial"/>
            <w:sz w:val="24"/>
            <w:szCs w:val="24"/>
          </w:rPr>
          <w:t>п</w:t>
        </w:r>
      </w:hyperlink>
      <w:r w:rsidRPr="00623406">
        <w:rPr>
          <w:rFonts w:ascii="Arial" w:hAnsi="Arial" w:cs="Arial"/>
          <w:sz w:val="24"/>
          <w:szCs w:val="24"/>
        </w:rPr>
        <w:t>аспорта</w:t>
      </w:r>
      <w:r w:rsidR="00A41B07" w:rsidRPr="00623406">
        <w:rPr>
          <w:rFonts w:ascii="Arial" w:hAnsi="Arial" w:cs="Arial"/>
          <w:sz w:val="24"/>
          <w:szCs w:val="24"/>
        </w:rPr>
        <w:t xml:space="preserve"> муниципальной программы городского округа Долгопрудный «Культура и туризм»</w:t>
      </w:r>
    </w:p>
    <w:p w:rsidR="0093628A" w:rsidRPr="00623406" w:rsidRDefault="00A41B07" w:rsidP="00623406">
      <w:pPr>
        <w:pStyle w:val="ConsPlusNormal"/>
        <w:shd w:val="clear" w:color="auto" w:fill="FFFFFF" w:themeFill="background1"/>
        <w:spacing w:line="276" w:lineRule="auto"/>
        <w:jc w:val="center"/>
      </w:pPr>
      <w:r w:rsidRPr="00623406">
        <w:rPr>
          <w:rFonts w:ascii="Arial" w:hAnsi="Arial" w:cs="Arial"/>
          <w:sz w:val="24"/>
          <w:szCs w:val="24"/>
        </w:rPr>
        <w:t>на 2023 - 2027 годы</w:t>
      </w:r>
      <w:bookmarkStart w:id="0" w:name="_GoBack"/>
      <w:bookmarkEnd w:id="0"/>
    </w:p>
    <w:tbl>
      <w:tblPr>
        <w:tblpPr w:leftFromText="180" w:rightFromText="180" w:vertAnchor="text" w:horzAnchor="page" w:tblpX="1175" w:tblpY="232"/>
        <w:tblW w:w="9918" w:type="dxa"/>
        <w:tblLayout w:type="fixed"/>
        <w:tblLook w:val="04A0" w:firstRow="1" w:lastRow="0" w:firstColumn="1" w:lastColumn="0" w:noHBand="0" w:noVBand="1"/>
      </w:tblPr>
      <w:tblGrid>
        <w:gridCol w:w="2547"/>
        <w:gridCol w:w="1276"/>
        <w:gridCol w:w="1276"/>
        <w:gridCol w:w="1304"/>
        <w:gridCol w:w="1134"/>
        <w:gridCol w:w="1247"/>
        <w:gridCol w:w="1134"/>
      </w:tblGrid>
      <w:tr w:rsidR="00A41B07" w:rsidRPr="0019283E" w:rsidTr="0019283E">
        <w:trPr>
          <w:trHeight w:val="37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Координатор муниципальной программы</w:t>
            </w:r>
          </w:p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1B07" w:rsidRPr="0019283E" w:rsidRDefault="00A41B07" w:rsidP="0019283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Arial" w:eastAsiaTheme="minorEastAsia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Theme="minorEastAsia" w:hAnsi="Arial" w:cs="Arial"/>
                <w:sz w:val="19"/>
                <w:szCs w:val="19"/>
                <w:lang w:eastAsia="ru-RU"/>
              </w:rPr>
              <w:t>Первый заместитель главы городского округа Курсова С.В.</w:t>
            </w:r>
          </w:p>
        </w:tc>
      </w:tr>
      <w:tr w:rsidR="00A41B07" w:rsidRPr="0019283E" w:rsidTr="0019283E">
        <w:trPr>
          <w:trHeight w:val="397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Муниципальный заказчик программы</w:t>
            </w: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br/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1B07" w:rsidRPr="0019283E" w:rsidRDefault="00A41B07" w:rsidP="0019283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Arial" w:eastAsiaTheme="minorEastAsia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Theme="minorEastAsia" w:hAnsi="Arial" w:cs="Arial"/>
                <w:sz w:val="19"/>
                <w:szCs w:val="19"/>
                <w:lang w:eastAsia="ru-RU"/>
              </w:rPr>
              <w:t>Управление культуры, физической культуры, спорта, туризма и молодёжной политики администрации городского округа Долгопрудный</w:t>
            </w:r>
          </w:p>
        </w:tc>
      </w:tr>
      <w:tr w:rsidR="00A41B07" w:rsidRPr="0019283E" w:rsidTr="0019283E">
        <w:trPr>
          <w:trHeight w:val="2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Цели муниципальной программы</w:t>
            </w: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br/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1B07" w:rsidRPr="0019283E" w:rsidRDefault="00A41B07" w:rsidP="0019283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Arial" w:eastAsiaTheme="minorEastAsia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hAnsi="Arial" w:cs="Arial"/>
                <w:sz w:val="19"/>
                <w:szCs w:val="19"/>
              </w:rPr>
              <w:t>Повышение качества жизни населения через формирование благоприятной культурной среды на территории городского округа Долгопрудный и создание условий отдыха и самореализации жителей</w:t>
            </w:r>
          </w:p>
        </w:tc>
      </w:tr>
      <w:tr w:rsidR="00A41B07" w:rsidRPr="0019283E" w:rsidTr="0019283E">
        <w:trPr>
          <w:trHeight w:val="35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Перечень подпрограмм</w:t>
            </w:r>
          </w:p>
        </w:tc>
        <w:tc>
          <w:tcPr>
            <w:tcW w:w="73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Муниципальные заказчики подпрограмм</w:t>
            </w:r>
          </w:p>
        </w:tc>
      </w:tr>
      <w:tr w:rsidR="00A41B07" w:rsidRPr="0019283E" w:rsidTr="0019283E">
        <w:trPr>
          <w:trHeight w:val="114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I «</w:t>
            </w:r>
            <w:r w:rsidR="004E7F9B"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</w:t>
            </w: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»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19283E">
              <w:rPr>
                <w:rFonts w:ascii="Arial" w:eastAsiaTheme="minorEastAsia" w:hAnsi="Arial" w:cs="Arial"/>
                <w:sz w:val="19"/>
                <w:szCs w:val="19"/>
                <w:lang w:eastAsia="ru-RU"/>
              </w:rPr>
              <w:t xml:space="preserve">Управление культуры, физической культуры, спорта, туризма и молодёжной политики администрации городского округа Долгопрудный </w:t>
            </w:r>
          </w:p>
        </w:tc>
      </w:tr>
      <w:tr w:rsidR="00A41B07" w:rsidRPr="0019283E" w:rsidTr="0019283E">
        <w:trPr>
          <w:trHeight w:val="5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II «Развитие музейного дела»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19283E">
              <w:rPr>
                <w:rFonts w:ascii="Arial" w:eastAsiaTheme="minorEastAsia" w:hAnsi="Arial" w:cs="Arial"/>
                <w:sz w:val="19"/>
                <w:szCs w:val="19"/>
                <w:lang w:eastAsia="ru-RU"/>
              </w:rPr>
              <w:t xml:space="preserve">Управление культуры, физической культуры, спорта, туризма и молодёжной политики администрации городского округа Долгопрудный </w:t>
            </w:r>
          </w:p>
        </w:tc>
      </w:tr>
      <w:tr w:rsidR="00A41B07" w:rsidRPr="0019283E" w:rsidTr="0019283E">
        <w:trPr>
          <w:trHeight w:val="31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III «Развитие библиотечного дела»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19283E">
              <w:rPr>
                <w:rFonts w:ascii="Arial" w:eastAsiaTheme="minorEastAsia" w:hAnsi="Arial" w:cs="Arial"/>
                <w:sz w:val="19"/>
                <w:szCs w:val="19"/>
                <w:lang w:eastAsia="ru-RU"/>
              </w:rPr>
              <w:t xml:space="preserve">Управление культуры, физической культуры, спорта, туризма и молодёжной политики администрации городского округа Долгопрудный </w:t>
            </w:r>
          </w:p>
        </w:tc>
      </w:tr>
      <w:tr w:rsidR="00A41B07" w:rsidRPr="0019283E" w:rsidTr="0019283E">
        <w:trPr>
          <w:trHeight w:val="38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IV «</w:t>
            </w:r>
            <w:r w:rsidR="004E7F9B"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профессионального искусства, гастрольно-концертной и культурно-досуговой деятельности, кинематографии</w:t>
            </w: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»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19283E">
              <w:rPr>
                <w:rFonts w:ascii="Arial" w:eastAsiaTheme="minorEastAsia" w:hAnsi="Arial" w:cs="Arial"/>
                <w:sz w:val="19"/>
                <w:szCs w:val="19"/>
                <w:lang w:eastAsia="ru-RU"/>
              </w:rPr>
              <w:t xml:space="preserve">Управление культуры, физической культуры, спорта, туризма и молодёжной политики администрации городского округа Долгопрудный </w:t>
            </w:r>
          </w:p>
        </w:tc>
      </w:tr>
      <w:tr w:rsidR="00A41B07" w:rsidRPr="0019283E" w:rsidTr="0019283E">
        <w:trPr>
          <w:trHeight w:val="101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V «</w:t>
            </w:r>
            <w:r w:rsidR="004E7F9B"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Укрепление материально-технической базы муниципальных учреждений культуры</w:t>
            </w: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»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19283E">
              <w:rPr>
                <w:rFonts w:ascii="Arial" w:eastAsiaTheme="minorEastAsia" w:hAnsi="Arial" w:cs="Arial"/>
                <w:sz w:val="19"/>
                <w:szCs w:val="19"/>
                <w:lang w:eastAsia="ru-RU"/>
              </w:rPr>
              <w:t xml:space="preserve">Управление культуры, физической культуры, спорта, туризма и молодёжной политики администрации городского округа Долгопрудный </w:t>
            </w:r>
          </w:p>
        </w:tc>
      </w:tr>
      <w:tr w:rsidR="00A41B07" w:rsidRPr="0019283E" w:rsidTr="0019283E">
        <w:trPr>
          <w:trHeight w:val="54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VI «</w:t>
            </w:r>
            <w:r w:rsidR="004E7F9B"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образования в сфере культуры</w:t>
            </w: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»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19283E">
              <w:rPr>
                <w:rFonts w:ascii="Arial" w:eastAsiaTheme="minorEastAsia" w:hAnsi="Arial" w:cs="Arial"/>
                <w:sz w:val="19"/>
                <w:szCs w:val="19"/>
                <w:lang w:eastAsia="ru-RU"/>
              </w:rPr>
              <w:t xml:space="preserve">Управление культуры, физической культуры, спорта, туризма и молодёжной политики администрации городского округа Долгопрудный </w:t>
            </w:r>
          </w:p>
        </w:tc>
      </w:tr>
      <w:tr w:rsidR="00A41B07" w:rsidRPr="0019283E" w:rsidTr="0019283E">
        <w:trPr>
          <w:trHeight w:val="59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VII «Развитие туризма»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19283E">
              <w:rPr>
                <w:rFonts w:ascii="Arial" w:eastAsiaTheme="minorEastAsia" w:hAnsi="Arial" w:cs="Arial"/>
                <w:sz w:val="19"/>
                <w:szCs w:val="19"/>
                <w:lang w:eastAsia="ru-RU"/>
              </w:rPr>
              <w:t>Управление культуры, физической культуры, спорта, туризма и молодёжной политики администрации городского округа Долгопрудный</w:t>
            </w:r>
          </w:p>
        </w:tc>
      </w:tr>
      <w:tr w:rsidR="00A41B07" w:rsidRPr="0019283E" w:rsidTr="0019283E">
        <w:trPr>
          <w:trHeight w:val="59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VIII «Обеспечивающая подпрограмма»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19283E">
              <w:rPr>
                <w:rFonts w:ascii="Arial" w:eastAsiaTheme="minorEastAsia" w:hAnsi="Arial" w:cs="Arial"/>
                <w:sz w:val="19"/>
                <w:szCs w:val="19"/>
                <w:lang w:eastAsia="ru-RU"/>
              </w:rPr>
              <w:t>Управление культуры, физической культуры, спорта, туризма и молодёжной политики администрации городского округа Долгопрудный</w:t>
            </w:r>
          </w:p>
        </w:tc>
      </w:tr>
      <w:tr w:rsidR="00A41B07" w:rsidRPr="0019283E" w:rsidTr="0019283E">
        <w:trPr>
          <w:trHeight w:val="1206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Краткая характеристика подпрограмм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1. Подпрограмма I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Федерации». Обеспечение физической сохранности объектов культурного наследия (далее – ОКН) и создание условий для их активного включения в хозяйственный и культурный оборот, разработка и утверждение территорий и зон охраны ОКН, реставрация и приспособление ОКН</w:t>
            </w:r>
          </w:p>
        </w:tc>
      </w:tr>
      <w:tr w:rsidR="00A41B07" w:rsidRPr="0019283E" w:rsidTr="00623406">
        <w:trPr>
          <w:trHeight w:val="416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2. Подпрограмма II «Развитие музейного дела». Приобретение культурных ценностей, реставрация музейных предметов, создание музейных выставок и экспозиций, приобретение фондового, реставрационного и экспозиционного оборудования, проведение капитального ремонта, текущего ремонта и </w:t>
            </w: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благоустройство территорий в муниципальных музеях Московской области</w:t>
            </w:r>
          </w:p>
        </w:tc>
      </w:tr>
      <w:tr w:rsidR="00A41B07" w:rsidRPr="0019283E" w:rsidTr="0019283E">
        <w:trPr>
          <w:trHeight w:val="812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3. Подпрограмма III «Развитие библиотечного дела». Организация библиотечного обслуживания населения, комплектование книжных фондов актуальными изданиями, развития литературного творчества и популяризации чтения</w:t>
            </w:r>
          </w:p>
        </w:tc>
      </w:tr>
      <w:tr w:rsidR="00A41B07" w:rsidRPr="0019283E" w:rsidTr="0019283E">
        <w:trPr>
          <w:trHeight w:val="1045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4. Подпрограмма IV «Развитие профессионального искусства, гастрольно-концертной и культурно-досуговой деятельности, кинематографии». Обеспечение функций муниципальных театрально-концертных учреждений Московской области, проведение праздничных и культурно-массовых мероприятий, творческих проектов муниципального значения в сфере культуры</w:t>
            </w:r>
          </w:p>
        </w:tc>
      </w:tr>
      <w:tr w:rsidR="00A41B07" w:rsidRPr="0019283E" w:rsidTr="0019283E">
        <w:trPr>
          <w:trHeight w:val="27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5. Подпрограмма V «Укрепление материально-технической базы муниципальных учреждений культуры». Модернизация материально-технической базы учреждений культуры для создания комфортных условий развития народного творчества, творческой самореализации граждан и предоставления услуг населению в сфере культуры</w:t>
            </w:r>
          </w:p>
        </w:tc>
      </w:tr>
      <w:tr w:rsidR="00A41B07" w:rsidRPr="0019283E" w:rsidTr="0019283E">
        <w:trPr>
          <w:trHeight w:val="797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6. Подпрограмма VI «Развитие образования в сфере культуры». Реализации прав граждан на получение профессионального образования, обеспечение мер социальной поддержки обучающихся в подведомственных образовательных организациях, укрепление материально-технической базы образовательных организаций сферы культуры</w:t>
            </w:r>
          </w:p>
        </w:tc>
      </w:tr>
      <w:tr w:rsidR="00A41B07" w:rsidRPr="0019283E" w:rsidTr="0019283E">
        <w:trPr>
          <w:trHeight w:val="808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7. Подпрограмма VII «Развитие туризма». Развитие рынка туристских услуг и создание благоприятных условий для развития внутреннего и въездного туризма, повышение качества туристского продукта, развитие туристской инфраструктуры и формирование комфортной инвестиционной среды в Московской области</w:t>
            </w:r>
          </w:p>
        </w:tc>
      </w:tr>
      <w:tr w:rsidR="00A41B07" w:rsidRPr="0019283E" w:rsidTr="0019283E">
        <w:trPr>
          <w:trHeight w:val="637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8. Подпрограмма VIII «Обеспечивающая подпрограмма». Обеспечение эффективного выполнения функций и полномочий органов местного самоуправления в сфере культуры и туризма</w:t>
            </w:r>
          </w:p>
        </w:tc>
      </w:tr>
      <w:tr w:rsidR="00A41B07" w:rsidRPr="0019283E" w:rsidTr="00192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2547" w:type="dxa"/>
            <w:shd w:val="clear" w:color="auto" w:fill="auto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Источники финансирования муниципальной программы, в том числе по годам реализации программы, тыс. руб.: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9283E">
              <w:rPr>
                <w:rFonts w:ascii="Arial" w:hAnsi="Arial" w:cs="Arial"/>
                <w:sz w:val="19"/>
                <w:szCs w:val="19"/>
              </w:rPr>
              <w:t>Итого: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9283E">
              <w:rPr>
                <w:rFonts w:ascii="Arial" w:hAnsi="Arial" w:cs="Arial"/>
                <w:sz w:val="19"/>
                <w:szCs w:val="19"/>
              </w:rPr>
              <w:t>2023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9283E">
              <w:rPr>
                <w:rFonts w:ascii="Arial" w:hAnsi="Arial" w:cs="Arial"/>
                <w:sz w:val="19"/>
                <w:szCs w:val="19"/>
              </w:rPr>
              <w:t>2024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9283E">
              <w:rPr>
                <w:rFonts w:ascii="Arial" w:hAnsi="Arial" w:cs="Arial"/>
                <w:sz w:val="19"/>
                <w:szCs w:val="19"/>
              </w:rPr>
              <w:t>2025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9283E">
              <w:rPr>
                <w:rFonts w:ascii="Arial" w:hAnsi="Arial" w:cs="Arial"/>
                <w:sz w:val="19"/>
                <w:szCs w:val="19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1B07" w:rsidRPr="0019283E" w:rsidRDefault="00A41B07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9283E">
              <w:rPr>
                <w:rFonts w:ascii="Arial" w:hAnsi="Arial" w:cs="Arial"/>
                <w:sz w:val="19"/>
                <w:szCs w:val="19"/>
              </w:rPr>
              <w:t>2027</w:t>
            </w:r>
          </w:p>
        </w:tc>
      </w:tr>
      <w:tr w:rsidR="0079646B" w:rsidRPr="0019283E" w:rsidTr="00192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2547" w:type="dxa"/>
            <w:shd w:val="clear" w:color="auto" w:fill="auto"/>
            <w:vAlign w:val="center"/>
          </w:tcPr>
          <w:p w:rsidR="0079646B" w:rsidRPr="0019283E" w:rsidRDefault="0079646B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646B" w:rsidRPr="0019283E" w:rsidRDefault="0079646B" w:rsidP="001928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9"/>
              </w:rPr>
            </w:pPr>
            <w:r w:rsidRPr="0019283E">
              <w:rPr>
                <w:rFonts w:ascii="Arial" w:hAnsi="Arial" w:cs="Arial"/>
                <w:bCs/>
                <w:sz w:val="18"/>
                <w:szCs w:val="19"/>
              </w:rPr>
              <w:t>6 537,95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9646B" w:rsidRPr="0019283E" w:rsidRDefault="0079646B" w:rsidP="001928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bCs/>
                <w:sz w:val="18"/>
                <w:szCs w:val="19"/>
              </w:rPr>
              <w:t>2 156,95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 w:rsidR="0079646B" w:rsidRPr="0019283E" w:rsidRDefault="0079646B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sz w:val="18"/>
                <w:szCs w:val="19"/>
              </w:rPr>
              <w:t>2 363,50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9646B" w:rsidRPr="0019283E" w:rsidRDefault="0079646B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sz w:val="18"/>
                <w:szCs w:val="19"/>
              </w:rPr>
              <w:t>1 048,60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79646B" w:rsidRPr="0019283E" w:rsidRDefault="0079646B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sz w:val="18"/>
                <w:szCs w:val="19"/>
              </w:rPr>
              <w:t>968,90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646B" w:rsidRPr="0019283E" w:rsidRDefault="0079646B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sz w:val="18"/>
                <w:szCs w:val="19"/>
              </w:rPr>
              <w:t>0,00</w:t>
            </w:r>
          </w:p>
        </w:tc>
      </w:tr>
      <w:tr w:rsidR="0079646B" w:rsidRPr="0019283E" w:rsidTr="00192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9"/>
        </w:trPr>
        <w:tc>
          <w:tcPr>
            <w:tcW w:w="2547" w:type="dxa"/>
            <w:shd w:val="clear" w:color="auto" w:fill="auto"/>
            <w:vAlign w:val="center"/>
            <w:hideMark/>
          </w:tcPr>
          <w:p w:rsidR="0079646B" w:rsidRPr="0019283E" w:rsidRDefault="0079646B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79646B" w:rsidP="001928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9"/>
              </w:rPr>
            </w:pPr>
            <w:r w:rsidRPr="0019283E">
              <w:rPr>
                <w:rFonts w:ascii="Arial" w:hAnsi="Arial" w:cs="Arial"/>
                <w:bCs/>
                <w:sz w:val="18"/>
                <w:szCs w:val="19"/>
              </w:rPr>
              <w:t>38 637,91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79646B" w:rsidP="001928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bCs/>
                <w:sz w:val="18"/>
                <w:szCs w:val="19"/>
              </w:rPr>
              <w:t>8 445,31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79646B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sz w:val="18"/>
                <w:szCs w:val="19"/>
              </w:rPr>
              <w:t>18 990,40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79646B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sz w:val="18"/>
                <w:szCs w:val="19"/>
              </w:rPr>
              <w:t>10 233,30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79646B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sz w:val="18"/>
                <w:szCs w:val="19"/>
              </w:rPr>
              <w:t>968,90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646B" w:rsidRPr="0019283E" w:rsidRDefault="0079646B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sz w:val="18"/>
                <w:szCs w:val="19"/>
              </w:rPr>
              <w:t>0,00</w:t>
            </w:r>
          </w:p>
        </w:tc>
      </w:tr>
      <w:tr w:rsidR="0079646B" w:rsidRPr="0019283E" w:rsidTr="00192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7"/>
        </w:trPr>
        <w:tc>
          <w:tcPr>
            <w:tcW w:w="2547" w:type="dxa"/>
            <w:shd w:val="clear" w:color="auto" w:fill="auto"/>
            <w:vAlign w:val="center"/>
            <w:hideMark/>
          </w:tcPr>
          <w:p w:rsidR="0079646B" w:rsidRPr="0019283E" w:rsidRDefault="0079646B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Средства бюджета городского округа Долгопрудный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79646B" w:rsidP="001928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9"/>
              </w:rPr>
            </w:pPr>
            <w:r w:rsidRPr="0019283E">
              <w:rPr>
                <w:rFonts w:ascii="Arial" w:hAnsi="Arial" w:cs="Arial"/>
                <w:bCs/>
                <w:sz w:val="18"/>
                <w:szCs w:val="19"/>
              </w:rPr>
              <w:t>1 433 628,46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79646B" w:rsidP="001928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bCs/>
                <w:sz w:val="18"/>
                <w:szCs w:val="19"/>
              </w:rPr>
              <w:t>272 752,76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79646B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sz w:val="18"/>
                <w:szCs w:val="19"/>
              </w:rPr>
              <w:t>312 207,20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79646B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sz w:val="18"/>
                <w:szCs w:val="19"/>
              </w:rPr>
              <w:t>292 989,50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79646B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sz w:val="18"/>
                <w:szCs w:val="19"/>
              </w:rPr>
              <w:t>278 169,40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646B" w:rsidRPr="0019283E" w:rsidRDefault="0079646B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sz w:val="18"/>
                <w:szCs w:val="19"/>
              </w:rPr>
              <w:t>277 509,60</w:t>
            </w:r>
          </w:p>
        </w:tc>
      </w:tr>
      <w:tr w:rsidR="0079646B" w:rsidRPr="0019283E" w:rsidTr="00192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2547" w:type="dxa"/>
            <w:shd w:val="clear" w:color="auto" w:fill="auto"/>
            <w:vAlign w:val="center"/>
            <w:hideMark/>
          </w:tcPr>
          <w:p w:rsidR="0079646B" w:rsidRPr="0019283E" w:rsidRDefault="0079646B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79646B" w:rsidP="001928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9"/>
              </w:rPr>
            </w:pPr>
            <w:r w:rsidRPr="0019283E">
              <w:rPr>
                <w:rFonts w:ascii="Arial" w:hAnsi="Arial" w:cs="Arial"/>
                <w:bCs/>
                <w:sz w:val="18"/>
                <w:szCs w:val="19"/>
              </w:rPr>
              <w:t>334 224,30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79646B" w:rsidP="001928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bCs/>
                <w:sz w:val="18"/>
                <w:szCs w:val="19"/>
              </w:rPr>
              <w:t>58 324,30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79646B" w:rsidP="00192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bCs/>
                <w:sz w:val="18"/>
                <w:szCs w:val="19"/>
              </w:rPr>
              <w:t>68 900,00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79646B" w:rsidP="00192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bCs/>
                <w:sz w:val="18"/>
                <w:szCs w:val="19"/>
              </w:rPr>
              <w:t>68 900,00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79646B" w:rsidP="00192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bCs/>
                <w:color w:val="000000"/>
                <w:sz w:val="18"/>
                <w:szCs w:val="19"/>
              </w:rPr>
              <w:t>69 000,00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646B" w:rsidRPr="0019283E" w:rsidRDefault="0079646B" w:rsidP="00192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bCs/>
                <w:color w:val="000000"/>
                <w:sz w:val="18"/>
                <w:szCs w:val="19"/>
              </w:rPr>
              <w:t>69 100,00</w:t>
            </w:r>
          </w:p>
        </w:tc>
      </w:tr>
      <w:tr w:rsidR="0079646B" w:rsidRPr="0019283E" w:rsidTr="00192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4"/>
        </w:trPr>
        <w:tc>
          <w:tcPr>
            <w:tcW w:w="2547" w:type="dxa"/>
            <w:shd w:val="clear" w:color="auto" w:fill="auto"/>
            <w:vAlign w:val="center"/>
            <w:hideMark/>
          </w:tcPr>
          <w:p w:rsidR="0079646B" w:rsidRPr="0019283E" w:rsidRDefault="0079646B" w:rsidP="0019283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19283E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79646B" w:rsidP="001928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9"/>
              </w:rPr>
            </w:pPr>
            <w:r w:rsidRPr="0019283E">
              <w:rPr>
                <w:rFonts w:ascii="Arial" w:hAnsi="Arial" w:cs="Arial"/>
                <w:bCs/>
                <w:sz w:val="18"/>
                <w:szCs w:val="19"/>
              </w:rPr>
              <w:t>1 537 191,92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79646B" w:rsidP="001928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bCs/>
                <w:sz w:val="18"/>
                <w:szCs w:val="19"/>
              </w:rPr>
              <w:t>341 679,32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79646B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 w:rsidRPr="0019283E">
              <w:rPr>
                <w:rFonts w:ascii="Arial" w:hAnsi="Arial" w:cs="Arial"/>
                <w:sz w:val="18"/>
                <w:szCs w:val="19"/>
              </w:rPr>
              <w:t>333 561,10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660B07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>
              <w:rPr>
                <w:rFonts w:ascii="Arial" w:hAnsi="Arial" w:cs="Arial"/>
                <w:sz w:val="18"/>
                <w:szCs w:val="19"/>
              </w:rPr>
              <w:t>373 171,40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646B" w:rsidRPr="0019283E" w:rsidRDefault="00660B07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>
              <w:rPr>
                <w:rFonts w:ascii="Arial" w:hAnsi="Arial" w:cs="Arial"/>
                <w:sz w:val="18"/>
                <w:szCs w:val="19"/>
              </w:rPr>
              <w:t>349 107,30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646B" w:rsidRPr="0019283E" w:rsidRDefault="00660B07" w:rsidP="001928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18"/>
                <w:szCs w:val="19"/>
              </w:rPr>
            </w:pPr>
            <w:r>
              <w:rPr>
                <w:rFonts w:ascii="Arial" w:hAnsi="Arial" w:cs="Arial"/>
                <w:sz w:val="18"/>
                <w:szCs w:val="19"/>
              </w:rPr>
              <w:t>346 609,70</w:t>
            </w:r>
          </w:p>
        </w:tc>
      </w:tr>
    </w:tbl>
    <w:p w:rsidR="00A41B07" w:rsidRDefault="00A41B07"/>
    <w:sectPr w:rsidR="00A41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EB7"/>
    <w:rsid w:val="0019283E"/>
    <w:rsid w:val="004E7F9B"/>
    <w:rsid w:val="00623406"/>
    <w:rsid w:val="00660B07"/>
    <w:rsid w:val="0079646B"/>
    <w:rsid w:val="009253C5"/>
    <w:rsid w:val="009C48BD"/>
    <w:rsid w:val="00A41B07"/>
    <w:rsid w:val="00A96E88"/>
    <w:rsid w:val="00C4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D5ABD"/>
  <w15:chartTrackingRefBased/>
  <w15:docId w15:val="{E29F8996-858F-4C63-A0BB-6EFFF101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41B07"/>
    <w:pPr>
      <w:widowControl w:val="0"/>
      <w:suppressAutoHyphens/>
      <w:spacing w:after="0" w:line="240" w:lineRule="auto"/>
    </w:pPr>
    <w:rPr>
      <w:rFonts w:eastAsia="Times New Roman" w:cs="Calibri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A41B07"/>
    <w:rPr>
      <w:rFonts w:eastAsia="Times New Roman" w:cs="Calibri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3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34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5F57806D4652F9C0C7433B6229D4F803BDB9FBB3F1812110106D1DF45C84FAAADFD5A4FACABCAED4E2545E56945EB3D72E37D2ED614400E50Q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815</Words>
  <Characters>4650</Characters>
  <Application>Microsoft Office Word</Application>
  <DocSecurity>0</DocSecurity>
  <Lines>38</Lines>
  <Paragraphs>10</Paragraphs>
  <ScaleCrop>false</ScaleCrop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Янченко Евгения Юрьевна</dc:creator>
  <cp:keywords/>
  <dc:description/>
  <cp:lastModifiedBy>админ</cp:lastModifiedBy>
  <cp:revision>8</cp:revision>
  <cp:lastPrinted>2024-10-31T08:17:00Z</cp:lastPrinted>
  <dcterms:created xsi:type="dcterms:W3CDTF">2024-10-30T08:39:00Z</dcterms:created>
  <dcterms:modified xsi:type="dcterms:W3CDTF">2024-10-31T08:17:00Z</dcterms:modified>
</cp:coreProperties>
</file>